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8C" w:rsidRPr="00387DED" w:rsidRDefault="00B2008C" w:rsidP="00387DED">
      <w:pPr>
        <w:widowControl/>
        <w:jc w:val="center"/>
        <w:rPr>
          <w:rFonts w:ascii="Palatino Linotype" w:eastAsia="Calibri" w:hAnsi="Palatino Linotype" w:cs="CMR17"/>
          <w:b/>
          <w:sz w:val="32"/>
          <w:szCs w:val="32"/>
        </w:rPr>
      </w:pPr>
      <w:r w:rsidRPr="00387DED">
        <w:rPr>
          <w:rFonts w:ascii="Palatino Linotype" w:eastAsia="Calibri" w:hAnsi="Palatino Linotype" w:cs="CMR17"/>
          <w:b/>
          <w:sz w:val="32"/>
          <w:szCs w:val="32"/>
        </w:rPr>
        <w:t>Competitive Modes as Reliable Predictors of Chaos versus</w:t>
      </w:r>
    </w:p>
    <w:p w:rsidR="00B2008C" w:rsidRPr="00387DED" w:rsidRDefault="00B2008C" w:rsidP="00387DED">
      <w:pPr>
        <w:widowControl/>
        <w:jc w:val="center"/>
        <w:rPr>
          <w:rFonts w:ascii="Palatino Linotype" w:eastAsia="Calibri" w:hAnsi="Palatino Linotype" w:cs="CMR17"/>
          <w:b/>
          <w:sz w:val="32"/>
          <w:szCs w:val="32"/>
        </w:rPr>
      </w:pPr>
      <w:proofErr w:type="spellStart"/>
      <w:r w:rsidRPr="00387DED">
        <w:rPr>
          <w:rFonts w:ascii="Palatino Linotype" w:eastAsia="Calibri" w:hAnsi="Palatino Linotype" w:cs="CMR17"/>
          <w:b/>
          <w:sz w:val="32"/>
          <w:szCs w:val="32"/>
        </w:rPr>
        <w:t>Hyperchaos</w:t>
      </w:r>
      <w:proofErr w:type="spellEnd"/>
      <w:r w:rsidRPr="00387DED">
        <w:rPr>
          <w:rFonts w:ascii="Palatino Linotype" w:eastAsia="Calibri" w:hAnsi="Palatino Linotype" w:cs="CMR17"/>
          <w:b/>
          <w:sz w:val="32"/>
          <w:szCs w:val="32"/>
        </w:rPr>
        <w:t xml:space="preserve"> and as Geometric Mappings Accurately Delimiting</w:t>
      </w:r>
    </w:p>
    <w:p w:rsidR="00B2008C" w:rsidRPr="00387DED" w:rsidRDefault="00B2008C" w:rsidP="00387DED">
      <w:pPr>
        <w:widowControl/>
        <w:jc w:val="center"/>
        <w:rPr>
          <w:rFonts w:ascii="Palatino Linotype" w:eastAsia="Calibri" w:hAnsi="Palatino Linotype" w:cs="CMR17"/>
          <w:b/>
          <w:sz w:val="32"/>
          <w:szCs w:val="32"/>
        </w:rPr>
      </w:pPr>
      <w:r w:rsidRPr="00387DED">
        <w:rPr>
          <w:rFonts w:ascii="Palatino Linotype" w:eastAsia="Calibri" w:hAnsi="Palatino Linotype" w:cs="CMR17"/>
          <w:b/>
          <w:sz w:val="32"/>
          <w:szCs w:val="32"/>
        </w:rPr>
        <w:t>Attractors</w:t>
      </w:r>
    </w:p>
    <w:p w:rsidR="00B2008C" w:rsidRPr="00387DED" w:rsidRDefault="00B2008C" w:rsidP="00387DED">
      <w:pPr>
        <w:widowControl/>
        <w:jc w:val="center"/>
        <w:rPr>
          <w:rFonts w:ascii="Palatino Linotype" w:eastAsia="Calibri" w:hAnsi="Palatino Linotype" w:cs="CMR17"/>
          <w:b/>
          <w:sz w:val="32"/>
          <w:szCs w:val="32"/>
        </w:rPr>
      </w:pPr>
    </w:p>
    <w:p w:rsidR="00B2008C" w:rsidRPr="00387DED" w:rsidRDefault="00B2008C" w:rsidP="00387DED">
      <w:pPr>
        <w:widowControl/>
        <w:jc w:val="center"/>
        <w:rPr>
          <w:rFonts w:ascii="Palatino Linotype" w:eastAsia="Calibri" w:hAnsi="Palatino Linotype" w:cs="CMR17"/>
          <w:sz w:val="24"/>
          <w:szCs w:val="24"/>
        </w:rPr>
      </w:pPr>
    </w:p>
    <w:p w:rsidR="00B2008C" w:rsidRPr="00387DED" w:rsidRDefault="00B2008C" w:rsidP="00387DED">
      <w:pPr>
        <w:widowControl/>
        <w:jc w:val="center"/>
        <w:rPr>
          <w:rFonts w:ascii="Palatino Linotype" w:eastAsia="Calibri" w:hAnsi="Palatino Linotype" w:cs="CMR8"/>
          <w:sz w:val="24"/>
          <w:szCs w:val="24"/>
        </w:rPr>
      </w:pPr>
      <w:r w:rsidRPr="00387DED">
        <w:rPr>
          <w:rFonts w:ascii="Palatino Linotype" w:eastAsia="Calibri" w:hAnsi="Palatino Linotype" w:cs="CMR12"/>
          <w:sz w:val="24"/>
          <w:szCs w:val="24"/>
        </w:rPr>
        <w:t>S. Roy Choudhury</w:t>
      </w:r>
      <w:r w:rsidR="007718E6">
        <w:rPr>
          <w:rFonts w:ascii="Palatino Linotype" w:eastAsia="Calibri" w:hAnsi="Palatino Linotype" w:cs="CMR12"/>
          <w:sz w:val="24"/>
          <w:szCs w:val="24"/>
        </w:rPr>
        <w:t xml:space="preserve"> and M. Pensky</w:t>
      </w:r>
      <w:bookmarkStart w:id="0" w:name="_GoBack"/>
      <w:bookmarkEnd w:id="0"/>
    </w:p>
    <w:p w:rsidR="00B2008C" w:rsidRPr="00387DED" w:rsidRDefault="00B2008C" w:rsidP="00387DED">
      <w:pPr>
        <w:widowControl/>
        <w:jc w:val="center"/>
        <w:rPr>
          <w:rFonts w:ascii="Palatino Linotype" w:eastAsia="Calibri" w:hAnsi="Palatino Linotype" w:cs="CMR12"/>
          <w:sz w:val="24"/>
          <w:szCs w:val="24"/>
        </w:rPr>
      </w:pPr>
      <w:r w:rsidRPr="00387DED">
        <w:rPr>
          <w:rFonts w:ascii="Palatino Linotype" w:eastAsia="Calibri" w:hAnsi="Palatino Linotype" w:cs="CMR12"/>
          <w:sz w:val="24"/>
          <w:szCs w:val="24"/>
        </w:rPr>
        <w:t>Department of Mathematics, University of Central Florida</w:t>
      </w:r>
    </w:p>
    <w:p w:rsidR="00B2008C" w:rsidRPr="00387DED" w:rsidRDefault="00B2008C" w:rsidP="00387DED">
      <w:pPr>
        <w:widowControl/>
        <w:jc w:val="center"/>
        <w:rPr>
          <w:rFonts w:ascii="Palatino Linotype" w:eastAsia="Calibri" w:hAnsi="Palatino Linotype" w:cs="CMR12"/>
          <w:sz w:val="24"/>
          <w:szCs w:val="24"/>
        </w:rPr>
      </w:pPr>
      <w:r w:rsidRPr="00387DED">
        <w:rPr>
          <w:rFonts w:ascii="Palatino Linotype" w:eastAsia="Calibri" w:hAnsi="Palatino Linotype" w:cs="CMR12"/>
          <w:sz w:val="24"/>
          <w:szCs w:val="24"/>
        </w:rPr>
        <w:t>PO Box 161364, Orlando, FL 32816-1364</w:t>
      </w:r>
    </w:p>
    <w:p w:rsidR="00B2008C" w:rsidRPr="00387DED" w:rsidRDefault="00B2008C" w:rsidP="00387DED">
      <w:pPr>
        <w:widowControl/>
        <w:jc w:val="center"/>
        <w:rPr>
          <w:rFonts w:ascii="Palatino Linotype" w:eastAsia="Calibri" w:hAnsi="Palatino Linotype" w:cs="CMR12"/>
          <w:sz w:val="24"/>
          <w:szCs w:val="24"/>
        </w:rPr>
      </w:pPr>
      <w:proofErr w:type="gramStart"/>
      <w:r w:rsidRPr="00387DED">
        <w:rPr>
          <w:rFonts w:ascii="Palatino Linotype" w:eastAsia="Calibri" w:hAnsi="Palatino Linotype" w:cs="CMR12"/>
          <w:sz w:val="24"/>
          <w:szCs w:val="24"/>
        </w:rPr>
        <w:t>e-mail</w:t>
      </w:r>
      <w:proofErr w:type="gramEnd"/>
      <w:r w:rsidRPr="00387DED">
        <w:rPr>
          <w:rFonts w:ascii="Palatino Linotype" w:eastAsia="Calibri" w:hAnsi="Palatino Linotype" w:cs="CMR12"/>
          <w:sz w:val="24"/>
          <w:szCs w:val="24"/>
        </w:rPr>
        <w:t>:</w:t>
      </w:r>
      <w:r w:rsidRPr="00387DED">
        <w:rPr>
          <w:rFonts w:ascii="Palatino Linotype" w:eastAsia="Calibri" w:hAnsi="Palatino Linotype" w:cs="CMR8"/>
          <w:sz w:val="24"/>
          <w:szCs w:val="24"/>
        </w:rPr>
        <w:t xml:space="preserve"> </w:t>
      </w:r>
      <w:r w:rsidRPr="00387DED">
        <w:rPr>
          <w:rFonts w:ascii="Palatino Linotype" w:eastAsia="Calibri" w:hAnsi="Palatino Linotype" w:cs="CMR12"/>
          <w:sz w:val="24"/>
          <w:szCs w:val="24"/>
        </w:rPr>
        <w:t>choudhur@cs.ucf.edu ; rav@knights.ucf.edu</w:t>
      </w:r>
    </w:p>
    <w:p w:rsidR="00B2008C" w:rsidRPr="00387DED" w:rsidRDefault="00B2008C" w:rsidP="00387DED">
      <w:pPr>
        <w:widowControl/>
        <w:jc w:val="center"/>
        <w:rPr>
          <w:rFonts w:ascii="Palatino Linotype" w:eastAsia="Calibri" w:hAnsi="Palatino Linotype" w:cs="CMR12"/>
          <w:sz w:val="24"/>
          <w:szCs w:val="24"/>
        </w:rPr>
      </w:pPr>
    </w:p>
    <w:p w:rsidR="00B2008C" w:rsidRPr="00387DED" w:rsidRDefault="00B2008C" w:rsidP="00387DED">
      <w:pPr>
        <w:widowControl/>
        <w:jc w:val="center"/>
        <w:rPr>
          <w:rFonts w:ascii="Palatino Linotype" w:eastAsia="Calibri" w:hAnsi="Palatino Linotype" w:cs="CMBX10"/>
          <w:b/>
          <w:bCs/>
          <w:sz w:val="24"/>
          <w:szCs w:val="24"/>
        </w:rPr>
      </w:pPr>
      <w:r w:rsidRPr="00387DED">
        <w:rPr>
          <w:rFonts w:ascii="Palatino Linotype" w:eastAsia="Calibri" w:hAnsi="Palatino Linotype" w:cs="CMBX10"/>
          <w:b/>
          <w:bCs/>
          <w:sz w:val="24"/>
          <w:szCs w:val="24"/>
        </w:rPr>
        <w:t>Abstract</w:t>
      </w:r>
    </w:p>
    <w:p w:rsidR="00B2008C" w:rsidRPr="00387DED" w:rsidRDefault="00B2008C" w:rsidP="00EF57D2">
      <w:pPr>
        <w:widowControl/>
        <w:jc w:val="both"/>
        <w:rPr>
          <w:rFonts w:ascii="Palatino Linotype" w:eastAsia="Calibri" w:hAnsi="Palatino Linotype" w:cs="CMR10"/>
          <w:sz w:val="24"/>
          <w:szCs w:val="24"/>
        </w:rPr>
      </w:pPr>
      <w:r w:rsidRPr="00387DED">
        <w:rPr>
          <w:rFonts w:ascii="Palatino Linotype" w:eastAsia="Calibri" w:hAnsi="Palatino Linotype" w:cs="CMR10"/>
          <w:sz w:val="24"/>
          <w:szCs w:val="24"/>
        </w:rPr>
        <w:t>We consider real quadratic dynamics in the context of competitive modes, which allows</w:t>
      </w:r>
      <w:r w:rsidR="00EF57D2">
        <w:rPr>
          <w:rFonts w:ascii="Palatino Linotype" w:eastAsia="Calibri" w:hAnsi="Palatino Linotype" w:cs="CMR10"/>
          <w:sz w:val="24"/>
          <w:szCs w:val="24"/>
        </w:rPr>
        <w:t xml:space="preserve"> </w:t>
      </w:r>
      <w:r w:rsidRPr="00387DED">
        <w:rPr>
          <w:rFonts w:ascii="Palatino Linotype" w:eastAsia="Calibri" w:hAnsi="Palatino Linotype" w:cs="CMR10"/>
          <w:sz w:val="24"/>
          <w:szCs w:val="24"/>
        </w:rPr>
        <w:t>us to view chaotic systems as ensembles of competing nonlinear oscillators. We find that the</w:t>
      </w:r>
      <w:r w:rsidR="00EF57D2">
        <w:rPr>
          <w:rFonts w:ascii="Palatino Linotype" w:eastAsia="Calibri" w:hAnsi="Palatino Linotype" w:cs="CMR10"/>
          <w:sz w:val="24"/>
          <w:szCs w:val="24"/>
        </w:rPr>
        <w:t xml:space="preserve"> </w:t>
      </w:r>
      <w:r w:rsidRPr="00387DED">
        <w:rPr>
          <w:rFonts w:ascii="Palatino Linotype" w:eastAsia="Calibri" w:hAnsi="Palatino Linotype" w:cs="CMR10"/>
          <w:sz w:val="24"/>
          <w:szCs w:val="24"/>
        </w:rPr>
        <w:t>standard competitive mode conditions may in fact be interpreted and employed slightly more</w:t>
      </w:r>
      <w:r w:rsidR="00EF57D2">
        <w:rPr>
          <w:rFonts w:ascii="Palatino Linotype" w:eastAsia="Calibri" w:hAnsi="Palatino Linotype" w:cs="CMR10"/>
          <w:sz w:val="24"/>
          <w:szCs w:val="24"/>
        </w:rPr>
        <w:t xml:space="preserve"> </w:t>
      </w:r>
      <w:r w:rsidRPr="00387DED">
        <w:rPr>
          <w:rFonts w:ascii="Palatino Linotype" w:eastAsia="Calibri" w:hAnsi="Palatino Linotype" w:cs="CMR10"/>
          <w:sz w:val="24"/>
          <w:szCs w:val="24"/>
        </w:rPr>
        <w:t>generally than has usually been done in recent investigations, with negative values of the squared</w:t>
      </w:r>
      <w:r w:rsidR="00EF57D2">
        <w:rPr>
          <w:rFonts w:ascii="Palatino Linotype" w:eastAsia="Calibri" w:hAnsi="Palatino Linotype" w:cs="CMR10"/>
          <w:sz w:val="24"/>
          <w:szCs w:val="24"/>
        </w:rPr>
        <w:t xml:space="preserve"> </w:t>
      </w:r>
      <w:r w:rsidRPr="00387DED">
        <w:rPr>
          <w:rFonts w:ascii="Palatino Linotype" w:eastAsia="Calibri" w:hAnsi="Palatino Linotype" w:cs="CMR10"/>
          <w:sz w:val="24"/>
          <w:szCs w:val="24"/>
        </w:rPr>
        <w:t>mode frequencies in fact being admissible in chaotic regimes, provided that the competition</w:t>
      </w:r>
      <w:r w:rsidR="00EF57D2">
        <w:rPr>
          <w:rFonts w:ascii="Palatino Linotype" w:eastAsia="Calibri" w:hAnsi="Palatino Linotype" w:cs="CMR10"/>
          <w:sz w:val="24"/>
          <w:szCs w:val="24"/>
        </w:rPr>
        <w:t xml:space="preserve"> </w:t>
      </w:r>
      <w:r w:rsidRPr="00387DED">
        <w:rPr>
          <w:rFonts w:ascii="Palatino Linotype" w:eastAsia="Calibri" w:hAnsi="Palatino Linotype" w:cs="CMR10"/>
          <w:sz w:val="24"/>
          <w:szCs w:val="24"/>
        </w:rPr>
        <w:t>among them persists. This is somewhat reminiscent of, but of course not directly correlated to,</w:t>
      </w:r>
      <w:r w:rsidR="00EF57D2">
        <w:rPr>
          <w:rFonts w:ascii="Palatino Linotype" w:eastAsia="Calibri" w:hAnsi="Palatino Linotype" w:cs="CMR10"/>
          <w:sz w:val="24"/>
          <w:szCs w:val="24"/>
        </w:rPr>
        <w:t xml:space="preserve"> </w:t>
      </w:r>
      <w:r w:rsidRPr="00387DED">
        <w:rPr>
          <w:rFonts w:ascii="Palatino Linotype" w:eastAsia="Calibri" w:hAnsi="Palatino Linotype" w:cs="CMR10"/>
          <w:sz w:val="24"/>
          <w:szCs w:val="24"/>
        </w:rPr>
        <w:t>‘stretching (along unstable manifolds) and folding (due to local volume dissipation)’ on chaotic</w:t>
      </w:r>
      <w:r w:rsidR="00EF57D2">
        <w:rPr>
          <w:rFonts w:ascii="Palatino Linotype" w:eastAsia="Calibri" w:hAnsi="Palatino Linotype" w:cs="CMR10"/>
          <w:sz w:val="24"/>
          <w:szCs w:val="24"/>
        </w:rPr>
        <w:t xml:space="preserve"> </w:t>
      </w:r>
      <w:r w:rsidRPr="00387DED">
        <w:rPr>
          <w:rFonts w:ascii="Palatino Linotype" w:eastAsia="Calibri" w:hAnsi="Palatino Linotype" w:cs="CMR10"/>
          <w:sz w:val="24"/>
          <w:szCs w:val="24"/>
        </w:rPr>
        <w:t>attractors. This new feature allows for the system variables to grow exponentially during time</w:t>
      </w:r>
      <w:r w:rsidR="00EF57D2">
        <w:rPr>
          <w:rFonts w:ascii="Palatino Linotype" w:eastAsia="Calibri" w:hAnsi="Palatino Linotype" w:cs="CMR10"/>
          <w:sz w:val="24"/>
          <w:szCs w:val="24"/>
        </w:rPr>
        <w:t xml:space="preserve"> </w:t>
      </w:r>
      <w:r w:rsidRPr="00387DED">
        <w:rPr>
          <w:rFonts w:ascii="Palatino Linotype" w:eastAsia="Calibri" w:hAnsi="Palatino Linotype" w:cs="CMR10"/>
          <w:sz w:val="24"/>
          <w:szCs w:val="24"/>
        </w:rPr>
        <w:t>intervals when mode frequencies are imaginary and comparable, while oscillating at instants</w:t>
      </w:r>
      <w:r w:rsidR="00EF57D2">
        <w:rPr>
          <w:rFonts w:ascii="Palatino Linotype" w:eastAsia="Calibri" w:hAnsi="Palatino Linotype" w:cs="CMR10"/>
          <w:sz w:val="24"/>
          <w:szCs w:val="24"/>
        </w:rPr>
        <w:t xml:space="preserve"> </w:t>
      </w:r>
      <w:r w:rsidRPr="00387DED">
        <w:rPr>
          <w:rFonts w:ascii="Palatino Linotype" w:eastAsia="Calibri" w:hAnsi="Palatino Linotype" w:cs="CMR10"/>
          <w:sz w:val="24"/>
          <w:szCs w:val="24"/>
        </w:rPr>
        <w:t>when the frequencies are real and locked in or entrained. In addition to an application of the</w:t>
      </w:r>
      <w:r w:rsidR="00EF57D2">
        <w:rPr>
          <w:rFonts w:ascii="Palatino Linotype" w:eastAsia="Calibri" w:hAnsi="Palatino Linotype" w:cs="CMR10"/>
          <w:sz w:val="24"/>
          <w:szCs w:val="24"/>
        </w:rPr>
        <w:t xml:space="preserve"> </w:t>
      </w:r>
      <w:r w:rsidRPr="00387DED">
        <w:rPr>
          <w:rFonts w:ascii="Palatino Linotype" w:eastAsia="Calibri" w:hAnsi="Palatino Linotype" w:cs="CMR10"/>
          <w:sz w:val="24"/>
          <w:szCs w:val="24"/>
        </w:rPr>
        <w:t xml:space="preserve">method to chaotic attractors, we consider systems exhibiting </w:t>
      </w:r>
      <w:proofErr w:type="spellStart"/>
      <w:r w:rsidRPr="00387DED">
        <w:rPr>
          <w:rFonts w:ascii="Palatino Linotype" w:eastAsia="Calibri" w:hAnsi="Palatino Linotype" w:cs="CMR10"/>
          <w:sz w:val="24"/>
          <w:szCs w:val="24"/>
        </w:rPr>
        <w:t>hyperchaos</w:t>
      </w:r>
      <w:proofErr w:type="spellEnd"/>
      <w:r w:rsidRPr="00387DED">
        <w:rPr>
          <w:rFonts w:ascii="Palatino Linotype" w:eastAsia="Calibri" w:hAnsi="Palatino Linotype" w:cs="CMR10"/>
          <w:sz w:val="24"/>
          <w:szCs w:val="24"/>
        </w:rPr>
        <w:t>, and conclude that</w:t>
      </w:r>
      <w:r w:rsidR="00EF57D2">
        <w:rPr>
          <w:rFonts w:ascii="Palatino Linotype" w:eastAsia="Calibri" w:hAnsi="Palatino Linotype" w:cs="CMR10"/>
          <w:sz w:val="24"/>
          <w:szCs w:val="24"/>
        </w:rPr>
        <w:t xml:space="preserve"> </w:t>
      </w:r>
      <w:r w:rsidRPr="00387DED">
        <w:rPr>
          <w:rFonts w:ascii="Palatino Linotype" w:eastAsia="Calibri" w:hAnsi="Palatino Linotype" w:cs="CMR10"/>
          <w:sz w:val="24"/>
          <w:szCs w:val="24"/>
        </w:rPr>
        <w:t xml:space="preserve">the latter exhibit three competitive modes rather </w:t>
      </w:r>
      <w:proofErr w:type="spellStart"/>
      <w:r w:rsidRPr="00387DED">
        <w:rPr>
          <w:rFonts w:ascii="Palatino Linotype" w:eastAsia="Calibri" w:hAnsi="Palatino Linotype" w:cs="CMR10"/>
          <w:sz w:val="24"/>
          <w:szCs w:val="24"/>
        </w:rPr>
        <w:t>thantwo</w:t>
      </w:r>
      <w:proofErr w:type="spellEnd"/>
      <w:r w:rsidRPr="00387DED">
        <w:rPr>
          <w:rFonts w:ascii="Palatino Linotype" w:eastAsia="Calibri" w:hAnsi="Palatino Linotype" w:cs="CMR10"/>
          <w:sz w:val="24"/>
          <w:szCs w:val="24"/>
        </w:rPr>
        <w:t xml:space="preserve"> for the former. Finally, in a novel</w:t>
      </w:r>
      <w:r w:rsidR="00EF57D2">
        <w:rPr>
          <w:rFonts w:ascii="Palatino Linotype" w:eastAsia="Calibri" w:hAnsi="Palatino Linotype" w:cs="CMR10"/>
          <w:sz w:val="24"/>
          <w:szCs w:val="24"/>
        </w:rPr>
        <w:t xml:space="preserve"> </w:t>
      </w:r>
      <w:r w:rsidRPr="00387DED">
        <w:rPr>
          <w:rFonts w:ascii="Palatino Linotype" w:eastAsia="Calibri" w:hAnsi="Palatino Linotype" w:cs="CMR10"/>
          <w:sz w:val="24"/>
          <w:szCs w:val="24"/>
        </w:rPr>
        <w:t>twist, we re-interpret the components of the Competitive Modes analysis as simple geometric</w:t>
      </w:r>
      <w:r w:rsidR="00EF57D2">
        <w:rPr>
          <w:rFonts w:ascii="Palatino Linotype" w:eastAsia="Calibri" w:hAnsi="Palatino Linotype" w:cs="CMR10"/>
          <w:sz w:val="24"/>
          <w:szCs w:val="24"/>
        </w:rPr>
        <w:t xml:space="preserve"> </w:t>
      </w:r>
      <w:r w:rsidRPr="00387DED">
        <w:rPr>
          <w:rFonts w:ascii="Palatino Linotype" w:eastAsia="Calibri" w:hAnsi="Palatino Linotype" w:cs="CMR10"/>
          <w:sz w:val="24"/>
          <w:szCs w:val="24"/>
        </w:rPr>
        <w:t>criteria to map out the spatial location and extent, as well as the rough general shape, of the</w:t>
      </w:r>
      <w:r w:rsidR="00EF57D2">
        <w:rPr>
          <w:rFonts w:ascii="Palatino Linotype" w:eastAsia="Calibri" w:hAnsi="Palatino Linotype" w:cs="CMR10"/>
          <w:sz w:val="24"/>
          <w:szCs w:val="24"/>
        </w:rPr>
        <w:t xml:space="preserve"> </w:t>
      </w:r>
      <w:r w:rsidRPr="00387DED">
        <w:rPr>
          <w:rFonts w:ascii="Palatino Linotype" w:eastAsia="Calibri" w:hAnsi="Palatino Linotype" w:cs="CMR10"/>
          <w:sz w:val="24"/>
          <w:szCs w:val="24"/>
        </w:rPr>
        <w:t>system attractor for any parameter sets corresponding to chaos. The accuracy of this mapping</w:t>
      </w:r>
      <w:r w:rsidR="00EF57D2">
        <w:rPr>
          <w:rFonts w:ascii="Palatino Linotype" w:eastAsia="Calibri" w:hAnsi="Palatino Linotype" w:cs="CMR10"/>
          <w:sz w:val="24"/>
          <w:szCs w:val="24"/>
        </w:rPr>
        <w:t xml:space="preserve"> </w:t>
      </w:r>
      <w:r w:rsidRPr="00387DED">
        <w:rPr>
          <w:rFonts w:ascii="Palatino Linotype" w:eastAsia="Calibri" w:hAnsi="Palatino Linotype" w:cs="CMR10"/>
          <w:sz w:val="24"/>
          <w:szCs w:val="24"/>
        </w:rPr>
        <w:t>adds further evidence to the growing body of recent work on the correctness and usefulness</w:t>
      </w:r>
      <w:r w:rsidR="00EF57D2">
        <w:rPr>
          <w:rFonts w:ascii="Palatino Linotype" w:eastAsia="Calibri" w:hAnsi="Palatino Linotype" w:cs="CMR10"/>
          <w:sz w:val="24"/>
          <w:szCs w:val="24"/>
        </w:rPr>
        <w:t xml:space="preserve"> </w:t>
      </w:r>
      <w:r w:rsidRPr="00387DED">
        <w:rPr>
          <w:rFonts w:ascii="Palatino Linotype" w:eastAsia="Calibri" w:hAnsi="Palatino Linotype" w:cs="CMR10"/>
          <w:sz w:val="24"/>
          <w:szCs w:val="24"/>
        </w:rPr>
        <w:t>of competitive modes. In fact, it may be considered a strong ’a posteriori’ validation of the</w:t>
      </w:r>
    </w:p>
    <w:p w:rsidR="00B2008C" w:rsidRPr="00387DED" w:rsidRDefault="00B2008C" w:rsidP="00EF57D2">
      <w:pPr>
        <w:widowControl/>
        <w:jc w:val="both"/>
        <w:rPr>
          <w:rFonts w:ascii="Palatino Linotype" w:eastAsia="Calibri" w:hAnsi="Palatino Linotype" w:cs="CMR10"/>
          <w:sz w:val="24"/>
          <w:szCs w:val="24"/>
        </w:rPr>
      </w:pPr>
      <w:r w:rsidRPr="00387DED">
        <w:rPr>
          <w:rFonts w:ascii="Palatino Linotype" w:eastAsia="Calibri" w:hAnsi="Palatino Linotype" w:cs="CMR10"/>
          <w:sz w:val="24"/>
          <w:szCs w:val="24"/>
        </w:rPr>
        <w:t>Competitive Modes conjectures and analysis.</w:t>
      </w:r>
    </w:p>
    <w:p w:rsidR="00B2008C" w:rsidRPr="00387DED" w:rsidRDefault="00B2008C" w:rsidP="00EF57D2">
      <w:pPr>
        <w:widowControl/>
        <w:jc w:val="both"/>
        <w:rPr>
          <w:rFonts w:ascii="Palatino Linotype" w:eastAsia="Calibri" w:hAnsi="Palatino Linotype" w:cs="CMR10"/>
          <w:sz w:val="24"/>
          <w:szCs w:val="24"/>
        </w:rPr>
      </w:pPr>
    </w:p>
    <w:p w:rsidR="00B2008C" w:rsidRPr="00387DED" w:rsidRDefault="00B2008C" w:rsidP="00EF57D2">
      <w:pPr>
        <w:widowControl/>
        <w:jc w:val="both"/>
        <w:rPr>
          <w:rFonts w:ascii="Palatino Linotype" w:eastAsia="Calibri" w:hAnsi="Palatino Linotype" w:cs="CMR10"/>
          <w:sz w:val="24"/>
          <w:szCs w:val="24"/>
        </w:rPr>
      </w:pPr>
    </w:p>
    <w:p w:rsidR="00D263A6" w:rsidRPr="00387DED" w:rsidRDefault="00B2008C" w:rsidP="00EF57D2">
      <w:pPr>
        <w:jc w:val="both"/>
        <w:rPr>
          <w:rFonts w:ascii="Palatino Linotype" w:hAnsi="Palatino Linotype"/>
          <w:sz w:val="24"/>
          <w:szCs w:val="24"/>
        </w:rPr>
      </w:pPr>
      <w:r w:rsidRPr="00387DED">
        <w:rPr>
          <w:rFonts w:ascii="Palatino Linotype" w:eastAsia="Calibri" w:hAnsi="Palatino Linotype" w:cs="CMBX10"/>
          <w:b/>
          <w:bCs/>
          <w:sz w:val="24"/>
          <w:szCs w:val="24"/>
        </w:rPr>
        <w:t>Keywords</w:t>
      </w:r>
      <w:r w:rsidRPr="00387DED">
        <w:rPr>
          <w:rFonts w:ascii="Palatino Linotype" w:eastAsia="Calibri" w:hAnsi="Palatino Linotype" w:cs="CMR10"/>
          <w:sz w:val="24"/>
          <w:szCs w:val="24"/>
        </w:rPr>
        <w:t xml:space="preserve">: quadratic dynamics; </w:t>
      </w:r>
      <w:proofErr w:type="spellStart"/>
      <w:r w:rsidRPr="00387DED">
        <w:rPr>
          <w:rFonts w:ascii="Palatino Linotype" w:eastAsia="Calibri" w:hAnsi="Palatino Linotype" w:cs="CMR10"/>
          <w:sz w:val="24"/>
          <w:szCs w:val="24"/>
        </w:rPr>
        <w:t>hyperchaos</w:t>
      </w:r>
      <w:proofErr w:type="spellEnd"/>
      <w:r w:rsidRPr="00387DED">
        <w:rPr>
          <w:rFonts w:ascii="Palatino Linotype" w:eastAsia="Calibri" w:hAnsi="Palatino Linotype" w:cs="CMR10"/>
          <w:sz w:val="24"/>
          <w:szCs w:val="24"/>
        </w:rPr>
        <w:t>; chaos diagnostics; nonlinear oscillators</w:t>
      </w:r>
    </w:p>
    <w:sectPr w:rsidR="00D263A6" w:rsidRPr="00387DED" w:rsidSect="0039345A">
      <w:pgSz w:w="12240" w:h="15840"/>
      <w:pgMar w:top="1440" w:right="816" w:bottom="720" w:left="2160" w:header="720" w:footer="720" w:gutter="0"/>
      <w:cols w:space="61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nskrit-Garam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MR17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96D"/>
    <w:rsid w:val="00030693"/>
    <w:rsid w:val="0003597F"/>
    <w:rsid w:val="000440E1"/>
    <w:rsid w:val="00052CA6"/>
    <w:rsid w:val="00054448"/>
    <w:rsid w:val="000B23B1"/>
    <w:rsid w:val="000B67BD"/>
    <w:rsid w:val="000B7755"/>
    <w:rsid w:val="000D2375"/>
    <w:rsid w:val="000E3552"/>
    <w:rsid w:val="000F1DC0"/>
    <w:rsid w:val="000F682D"/>
    <w:rsid w:val="00110248"/>
    <w:rsid w:val="001312FD"/>
    <w:rsid w:val="00132EEB"/>
    <w:rsid w:val="00135813"/>
    <w:rsid w:val="00137300"/>
    <w:rsid w:val="00137CA7"/>
    <w:rsid w:val="00150EB8"/>
    <w:rsid w:val="0017478A"/>
    <w:rsid w:val="00193B38"/>
    <w:rsid w:val="001A1A6A"/>
    <w:rsid w:val="001B6750"/>
    <w:rsid w:val="001D7666"/>
    <w:rsid w:val="001E16BF"/>
    <w:rsid w:val="001E21B8"/>
    <w:rsid w:val="001E61D5"/>
    <w:rsid w:val="001F4C30"/>
    <w:rsid w:val="00206227"/>
    <w:rsid w:val="00236FA5"/>
    <w:rsid w:val="0025375A"/>
    <w:rsid w:val="00270473"/>
    <w:rsid w:val="00273C6A"/>
    <w:rsid w:val="00284BB0"/>
    <w:rsid w:val="00287D29"/>
    <w:rsid w:val="002A3871"/>
    <w:rsid w:val="002A6A06"/>
    <w:rsid w:val="002A777E"/>
    <w:rsid w:val="002A7FCF"/>
    <w:rsid w:val="002B08A1"/>
    <w:rsid w:val="002E22E3"/>
    <w:rsid w:val="002F6C2F"/>
    <w:rsid w:val="00323743"/>
    <w:rsid w:val="00326F01"/>
    <w:rsid w:val="003364E9"/>
    <w:rsid w:val="003401D0"/>
    <w:rsid w:val="003506D4"/>
    <w:rsid w:val="00357653"/>
    <w:rsid w:val="00363C68"/>
    <w:rsid w:val="00385246"/>
    <w:rsid w:val="00387DED"/>
    <w:rsid w:val="0039345A"/>
    <w:rsid w:val="003A6392"/>
    <w:rsid w:val="003A7099"/>
    <w:rsid w:val="003B7C9F"/>
    <w:rsid w:val="003C4A01"/>
    <w:rsid w:val="003E41A6"/>
    <w:rsid w:val="003F23BD"/>
    <w:rsid w:val="003F294C"/>
    <w:rsid w:val="00432FAD"/>
    <w:rsid w:val="00441AD9"/>
    <w:rsid w:val="004521A7"/>
    <w:rsid w:val="00460C3A"/>
    <w:rsid w:val="0047193B"/>
    <w:rsid w:val="00490554"/>
    <w:rsid w:val="004A1958"/>
    <w:rsid w:val="004B3696"/>
    <w:rsid w:val="004B4A29"/>
    <w:rsid w:val="004C3264"/>
    <w:rsid w:val="004E55C8"/>
    <w:rsid w:val="004E651F"/>
    <w:rsid w:val="004E7140"/>
    <w:rsid w:val="004F4CD7"/>
    <w:rsid w:val="00512259"/>
    <w:rsid w:val="00530C11"/>
    <w:rsid w:val="005319BF"/>
    <w:rsid w:val="00532B55"/>
    <w:rsid w:val="0054249F"/>
    <w:rsid w:val="005479E0"/>
    <w:rsid w:val="00547D68"/>
    <w:rsid w:val="00560458"/>
    <w:rsid w:val="00567246"/>
    <w:rsid w:val="005818CE"/>
    <w:rsid w:val="0058455D"/>
    <w:rsid w:val="005A573A"/>
    <w:rsid w:val="005B602E"/>
    <w:rsid w:val="005B6D2A"/>
    <w:rsid w:val="005C558E"/>
    <w:rsid w:val="005D5912"/>
    <w:rsid w:val="005F1AFF"/>
    <w:rsid w:val="005F2C5A"/>
    <w:rsid w:val="005F4B60"/>
    <w:rsid w:val="005F6FB1"/>
    <w:rsid w:val="00601914"/>
    <w:rsid w:val="00602A90"/>
    <w:rsid w:val="00616E94"/>
    <w:rsid w:val="00617E4B"/>
    <w:rsid w:val="006433D5"/>
    <w:rsid w:val="00650F16"/>
    <w:rsid w:val="0067676C"/>
    <w:rsid w:val="00681FE7"/>
    <w:rsid w:val="00684DA8"/>
    <w:rsid w:val="00691046"/>
    <w:rsid w:val="00692A84"/>
    <w:rsid w:val="00696891"/>
    <w:rsid w:val="006A07E2"/>
    <w:rsid w:val="006B2A13"/>
    <w:rsid w:val="006D6A5D"/>
    <w:rsid w:val="006E0EFD"/>
    <w:rsid w:val="006E25E8"/>
    <w:rsid w:val="006E445E"/>
    <w:rsid w:val="006E68C9"/>
    <w:rsid w:val="00702E9E"/>
    <w:rsid w:val="00704441"/>
    <w:rsid w:val="00723D3B"/>
    <w:rsid w:val="007317F3"/>
    <w:rsid w:val="007319CA"/>
    <w:rsid w:val="007510A1"/>
    <w:rsid w:val="00761D8B"/>
    <w:rsid w:val="007718E6"/>
    <w:rsid w:val="0077585D"/>
    <w:rsid w:val="00775957"/>
    <w:rsid w:val="007B33EA"/>
    <w:rsid w:val="007D6EA8"/>
    <w:rsid w:val="007E4ACA"/>
    <w:rsid w:val="007F11F6"/>
    <w:rsid w:val="008220E6"/>
    <w:rsid w:val="008265A3"/>
    <w:rsid w:val="00843F46"/>
    <w:rsid w:val="00854AC3"/>
    <w:rsid w:val="00855B14"/>
    <w:rsid w:val="00863126"/>
    <w:rsid w:val="00863D0C"/>
    <w:rsid w:val="00866813"/>
    <w:rsid w:val="00867A4F"/>
    <w:rsid w:val="008709E0"/>
    <w:rsid w:val="00887922"/>
    <w:rsid w:val="008902E0"/>
    <w:rsid w:val="00895403"/>
    <w:rsid w:val="008A05DA"/>
    <w:rsid w:val="008A7388"/>
    <w:rsid w:val="008B31AB"/>
    <w:rsid w:val="008C5C9C"/>
    <w:rsid w:val="008E045F"/>
    <w:rsid w:val="008E1DB5"/>
    <w:rsid w:val="008E6D6A"/>
    <w:rsid w:val="008F0133"/>
    <w:rsid w:val="008F2C49"/>
    <w:rsid w:val="0090088A"/>
    <w:rsid w:val="00903744"/>
    <w:rsid w:val="009071F6"/>
    <w:rsid w:val="009127BE"/>
    <w:rsid w:val="00941E06"/>
    <w:rsid w:val="009545A2"/>
    <w:rsid w:val="00981F1B"/>
    <w:rsid w:val="009F3806"/>
    <w:rsid w:val="009F6597"/>
    <w:rsid w:val="00A00485"/>
    <w:rsid w:val="00A13597"/>
    <w:rsid w:val="00A154A4"/>
    <w:rsid w:val="00A16394"/>
    <w:rsid w:val="00A26A43"/>
    <w:rsid w:val="00A3020C"/>
    <w:rsid w:val="00A42F69"/>
    <w:rsid w:val="00A571E5"/>
    <w:rsid w:val="00A61ED8"/>
    <w:rsid w:val="00A86BBB"/>
    <w:rsid w:val="00A86EBB"/>
    <w:rsid w:val="00A930C1"/>
    <w:rsid w:val="00A962E9"/>
    <w:rsid w:val="00AA5DCD"/>
    <w:rsid w:val="00AA6372"/>
    <w:rsid w:val="00AC770E"/>
    <w:rsid w:val="00AD38FB"/>
    <w:rsid w:val="00AF055F"/>
    <w:rsid w:val="00B00BBF"/>
    <w:rsid w:val="00B049E8"/>
    <w:rsid w:val="00B2008C"/>
    <w:rsid w:val="00B21ADC"/>
    <w:rsid w:val="00B25D99"/>
    <w:rsid w:val="00B31D5C"/>
    <w:rsid w:val="00B36FF9"/>
    <w:rsid w:val="00B547B4"/>
    <w:rsid w:val="00B844AE"/>
    <w:rsid w:val="00B86EC9"/>
    <w:rsid w:val="00BA50D7"/>
    <w:rsid w:val="00BB3BCD"/>
    <w:rsid w:val="00BB3FA3"/>
    <w:rsid w:val="00BD090C"/>
    <w:rsid w:val="00BD24B8"/>
    <w:rsid w:val="00BE050E"/>
    <w:rsid w:val="00BF7FAE"/>
    <w:rsid w:val="00C04A97"/>
    <w:rsid w:val="00C07E81"/>
    <w:rsid w:val="00C14034"/>
    <w:rsid w:val="00C312E9"/>
    <w:rsid w:val="00C50489"/>
    <w:rsid w:val="00C553F5"/>
    <w:rsid w:val="00C6581D"/>
    <w:rsid w:val="00C87E7C"/>
    <w:rsid w:val="00CA2A35"/>
    <w:rsid w:val="00CC5553"/>
    <w:rsid w:val="00CD0EAE"/>
    <w:rsid w:val="00CE0BD1"/>
    <w:rsid w:val="00CE1C06"/>
    <w:rsid w:val="00D045B9"/>
    <w:rsid w:val="00D07C77"/>
    <w:rsid w:val="00D10A98"/>
    <w:rsid w:val="00D21B73"/>
    <w:rsid w:val="00D263A6"/>
    <w:rsid w:val="00D317C4"/>
    <w:rsid w:val="00D45600"/>
    <w:rsid w:val="00D508BA"/>
    <w:rsid w:val="00D539C8"/>
    <w:rsid w:val="00D61071"/>
    <w:rsid w:val="00D77F0F"/>
    <w:rsid w:val="00D80962"/>
    <w:rsid w:val="00D860C4"/>
    <w:rsid w:val="00DA5894"/>
    <w:rsid w:val="00DA5FCD"/>
    <w:rsid w:val="00DA658B"/>
    <w:rsid w:val="00DB1D07"/>
    <w:rsid w:val="00DB65C0"/>
    <w:rsid w:val="00DC3611"/>
    <w:rsid w:val="00DD0AAE"/>
    <w:rsid w:val="00DD5639"/>
    <w:rsid w:val="00DE5FD9"/>
    <w:rsid w:val="00DF1470"/>
    <w:rsid w:val="00DF16D6"/>
    <w:rsid w:val="00E00255"/>
    <w:rsid w:val="00E03678"/>
    <w:rsid w:val="00E13065"/>
    <w:rsid w:val="00E15D37"/>
    <w:rsid w:val="00E20395"/>
    <w:rsid w:val="00E21149"/>
    <w:rsid w:val="00E224DC"/>
    <w:rsid w:val="00E52BD7"/>
    <w:rsid w:val="00E55004"/>
    <w:rsid w:val="00E56121"/>
    <w:rsid w:val="00E675DF"/>
    <w:rsid w:val="00E73639"/>
    <w:rsid w:val="00E813D5"/>
    <w:rsid w:val="00E83CA6"/>
    <w:rsid w:val="00E86F32"/>
    <w:rsid w:val="00EA290A"/>
    <w:rsid w:val="00EB7869"/>
    <w:rsid w:val="00EC13F1"/>
    <w:rsid w:val="00EC5151"/>
    <w:rsid w:val="00ED7511"/>
    <w:rsid w:val="00EF02BE"/>
    <w:rsid w:val="00EF57D2"/>
    <w:rsid w:val="00F27FCB"/>
    <w:rsid w:val="00F5506C"/>
    <w:rsid w:val="00F6016C"/>
    <w:rsid w:val="00F65856"/>
    <w:rsid w:val="00F74A3A"/>
    <w:rsid w:val="00F93436"/>
    <w:rsid w:val="00F9702B"/>
    <w:rsid w:val="00FA596D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0320D2-9828-424F-B2E8-426D5C96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5A"/>
    <w:pPr>
      <w:widowControl w:val="0"/>
      <w:autoSpaceDE w:val="0"/>
      <w:autoSpaceDN w:val="0"/>
      <w:adjustRightInd w:val="0"/>
    </w:pPr>
    <w:rPr>
      <w:rFonts w:ascii="Sanskrit-Garamond" w:eastAsia="Times New Roman" w:hAnsi="Sanskrit-Garamond" w:cs="Sanskrit-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S. Roy Choudhury</dc:creator>
  <cp:keywords/>
  <dc:description/>
  <cp:lastModifiedBy>Sudipto Roy Choudhury</cp:lastModifiedBy>
  <cp:revision>15</cp:revision>
  <dcterms:created xsi:type="dcterms:W3CDTF">2016-10-29T00:44:00Z</dcterms:created>
  <dcterms:modified xsi:type="dcterms:W3CDTF">2016-10-29T01:48:00Z</dcterms:modified>
</cp:coreProperties>
</file>